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4C" w:rsidRPr="000B449F" w:rsidRDefault="00F1724C" w:rsidP="00F1724C">
      <w:pPr>
        <w:pStyle w:val="a3"/>
        <w:shd w:val="clear" w:color="auto" w:fill="FFFFFF"/>
        <w:spacing w:before="0" w:beforeAutospacing="0" w:after="0" w:afterAutospacing="0" w:line="360" w:lineRule="auto"/>
        <w:jc w:val="center"/>
        <w:rPr>
          <w:rFonts w:ascii="SimSun" w:hAnsi="SimSun" w:hint="eastAsia"/>
          <w:b/>
          <w:color w:val="464646"/>
          <w:sz w:val="32"/>
          <w:szCs w:val="32"/>
        </w:rPr>
      </w:pPr>
      <w:r w:rsidRPr="000B449F">
        <w:rPr>
          <w:rFonts w:ascii="Helvetica" w:hAnsi="Helvetica" w:cs="Helvetica"/>
          <w:b/>
          <w:color w:val="3E3E3E"/>
          <w:sz w:val="32"/>
          <w:szCs w:val="32"/>
        </w:rPr>
        <w:t>广东省高级人民法院</w:t>
      </w:r>
    </w:p>
    <w:p w:rsidR="00F1724C" w:rsidRPr="000B449F" w:rsidRDefault="00F1724C" w:rsidP="00F1724C">
      <w:pPr>
        <w:pStyle w:val="a3"/>
        <w:shd w:val="clear" w:color="auto" w:fill="FFFFFF"/>
        <w:spacing w:before="0" w:beforeAutospacing="0" w:after="0" w:afterAutospacing="0" w:line="360" w:lineRule="auto"/>
        <w:jc w:val="center"/>
        <w:rPr>
          <w:rFonts w:ascii="SimSun" w:hAnsi="SimSun" w:hint="eastAsia"/>
          <w:b/>
          <w:color w:val="464646"/>
          <w:sz w:val="32"/>
          <w:szCs w:val="32"/>
        </w:rPr>
      </w:pPr>
      <w:r w:rsidRPr="000B449F">
        <w:rPr>
          <w:rFonts w:ascii="Helvetica" w:hAnsi="Helvetica" w:cs="Helvetica"/>
          <w:b/>
          <w:color w:val="3E3E3E"/>
          <w:sz w:val="32"/>
          <w:szCs w:val="32"/>
        </w:rPr>
        <w:t>行</w:t>
      </w:r>
      <w:r w:rsidRPr="000B449F">
        <w:rPr>
          <w:rFonts w:ascii="SimSun" w:hAnsi="SimSun"/>
          <w:b/>
          <w:color w:val="464646"/>
          <w:sz w:val="32"/>
          <w:szCs w:val="32"/>
        </w:rPr>
        <w:t xml:space="preserve"> </w:t>
      </w:r>
      <w:r w:rsidRPr="000B449F">
        <w:rPr>
          <w:rFonts w:ascii="Helvetica" w:hAnsi="Helvetica" w:cs="Helvetica"/>
          <w:b/>
          <w:color w:val="3E3E3E"/>
          <w:sz w:val="32"/>
          <w:szCs w:val="32"/>
        </w:rPr>
        <w:t>政</w:t>
      </w:r>
      <w:r w:rsidRPr="000B449F">
        <w:rPr>
          <w:rFonts w:ascii="SimSun" w:hAnsi="SimSun"/>
          <w:b/>
          <w:color w:val="464646"/>
          <w:sz w:val="32"/>
          <w:szCs w:val="32"/>
        </w:rPr>
        <w:t xml:space="preserve"> </w:t>
      </w:r>
      <w:r w:rsidRPr="000B449F">
        <w:rPr>
          <w:rFonts w:ascii="Helvetica" w:hAnsi="Helvetica" w:cs="Helvetica"/>
          <w:b/>
          <w:color w:val="3E3E3E"/>
          <w:sz w:val="32"/>
          <w:szCs w:val="32"/>
        </w:rPr>
        <w:t>裁</w:t>
      </w:r>
      <w:r w:rsidRPr="000B449F">
        <w:rPr>
          <w:rFonts w:ascii="SimSun" w:hAnsi="SimSun"/>
          <w:b/>
          <w:color w:val="464646"/>
          <w:sz w:val="32"/>
          <w:szCs w:val="32"/>
        </w:rPr>
        <w:t xml:space="preserve"> </w:t>
      </w:r>
      <w:r w:rsidRPr="000B449F">
        <w:rPr>
          <w:rFonts w:ascii="Helvetica" w:hAnsi="Helvetica" w:cs="Helvetica"/>
          <w:b/>
          <w:color w:val="3E3E3E"/>
          <w:sz w:val="32"/>
          <w:szCs w:val="32"/>
        </w:rPr>
        <w:t>定</w:t>
      </w:r>
      <w:r w:rsidRPr="000B449F">
        <w:rPr>
          <w:rFonts w:ascii="SimSun" w:hAnsi="SimSun"/>
          <w:b/>
          <w:color w:val="464646"/>
          <w:sz w:val="32"/>
          <w:szCs w:val="32"/>
        </w:rPr>
        <w:t xml:space="preserve"> </w:t>
      </w:r>
      <w:r w:rsidRPr="000B449F">
        <w:rPr>
          <w:rFonts w:ascii="Helvetica" w:hAnsi="Helvetica" w:cs="Helvetica"/>
          <w:b/>
          <w:color w:val="3E3E3E"/>
          <w:sz w:val="32"/>
          <w:szCs w:val="32"/>
        </w:rPr>
        <w:t>书</w:t>
      </w:r>
    </w:p>
    <w:p w:rsidR="00F1724C" w:rsidRDefault="00F1724C" w:rsidP="00F1724C">
      <w:pPr>
        <w:pStyle w:val="a3"/>
        <w:shd w:val="clear" w:color="auto" w:fill="FFFFFF"/>
        <w:spacing w:before="0" w:beforeAutospacing="0" w:after="0" w:afterAutospacing="0" w:line="360" w:lineRule="auto"/>
        <w:jc w:val="center"/>
        <w:rPr>
          <w:rFonts w:ascii="Helvetica" w:hAnsi="Helvetica" w:cs="Helvetica"/>
          <w:color w:val="3E3E3E"/>
          <w:sz w:val="21"/>
          <w:szCs w:val="21"/>
        </w:rPr>
      </w:pPr>
      <w:r>
        <w:rPr>
          <w:rFonts w:ascii="Helvetica" w:hAnsi="Helvetica" w:cs="Helvetica"/>
          <w:color w:val="3E3E3E"/>
          <w:sz w:val="21"/>
          <w:szCs w:val="21"/>
        </w:rPr>
        <w:t>（</w:t>
      </w:r>
      <w:r>
        <w:rPr>
          <w:rFonts w:ascii="Helvetica" w:hAnsi="Helvetica" w:cs="Helvetica"/>
          <w:color w:val="3E3E3E"/>
          <w:sz w:val="21"/>
          <w:szCs w:val="21"/>
        </w:rPr>
        <w:t>2015</w:t>
      </w:r>
      <w:r>
        <w:rPr>
          <w:rFonts w:ascii="Helvetica" w:hAnsi="Helvetica" w:cs="Helvetica"/>
          <w:color w:val="3E3E3E"/>
          <w:sz w:val="21"/>
          <w:szCs w:val="21"/>
        </w:rPr>
        <w:t>）粤高法行申字第</w:t>
      </w:r>
      <w:r>
        <w:rPr>
          <w:rFonts w:ascii="Helvetica" w:hAnsi="Helvetica" w:cs="Helvetica"/>
          <w:color w:val="3E3E3E"/>
          <w:sz w:val="21"/>
          <w:szCs w:val="21"/>
        </w:rPr>
        <w:t>113</w:t>
      </w:r>
      <w:r>
        <w:rPr>
          <w:rFonts w:ascii="Helvetica" w:hAnsi="Helvetica" w:cs="Helvetica"/>
          <w:color w:val="3E3E3E"/>
          <w:sz w:val="21"/>
          <w:szCs w:val="21"/>
        </w:rPr>
        <w:t>号</w:t>
      </w:r>
    </w:p>
    <w:p w:rsidR="00F1724C" w:rsidRDefault="00F1724C" w:rsidP="00F1724C">
      <w:pPr>
        <w:pStyle w:val="a3"/>
        <w:shd w:val="clear" w:color="auto" w:fill="FFFFFF"/>
        <w:spacing w:before="0" w:beforeAutospacing="0" w:after="0" w:afterAutospacing="0" w:line="360" w:lineRule="auto"/>
        <w:jc w:val="center"/>
        <w:rPr>
          <w:rFonts w:ascii="SimSun" w:hAnsi="SimSun" w:hint="eastAsia"/>
          <w:color w:val="464646"/>
          <w:sz w:val="18"/>
          <w:szCs w:val="18"/>
        </w:rPr>
      </w:pP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再审申请人（一审原告、二审上诉人）：何建新，男，汉族，住广东省广州市东山区。</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被申请人（一审被告、二审被上诉人）：佛山市南海区人力资源和社会保障局。住所地：广东省佛山市南海区南海大道北</w:t>
      </w:r>
      <w:r>
        <w:rPr>
          <w:rFonts w:ascii="Helvetica" w:hAnsi="Helvetica" w:cs="Helvetica"/>
          <w:color w:val="3E3E3E"/>
          <w:sz w:val="21"/>
          <w:szCs w:val="21"/>
        </w:rPr>
        <w:t>85</w:t>
      </w:r>
      <w:r>
        <w:rPr>
          <w:rFonts w:ascii="Helvetica" w:hAnsi="Helvetica" w:cs="Helvetica"/>
          <w:color w:val="3E3E3E"/>
          <w:sz w:val="21"/>
          <w:szCs w:val="21"/>
        </w:rPr>
        <w:t>号。</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法定代表人：朱伟新，局长。</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原审第三人：佛山马尼托瓦餐饮设备有限公司。住所地：广东省佛山市南海区松岗松夏工业园创业路。</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法定代表人：</w:t>
      </w:r>
      <w:r>
        <w:rPr>
          <w:rFonts w:ascii="Helvetica" w:hAnsi="Helvetica" w:cs="Helvetica"/>
          <w:color w:val="3E3E3E"/>
          <w:sz w:val="21"/>
          <w:szCs w:val="21"/>
        </w:rPr>
        <w:t>JANCHRISTIANKARSSIENS</w:t>
      </w:r>
      <w:r>
        <w:rPr>
          <w:rFonts w:ascii="Helvetica" w:hAnsi="Helvetica" w:cs="Helvetica"/>
          <w:color w:val="3E3E3E"/>
          <w:sz w:val="21"/>
          <w:szCs w:val="21"/>
        </w:rPr>
        <w:t>。</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再审申请人何建新因诉佛山市南海区人力资源和社会保障局（以下简称南海人社局）及第三人佛山马尼托瓦餐饮设备有限公司（以下简称马尼托瓦公司）劳动监察行政纠纷一案，不服广东省佛山市中级人民法院作出的（</w:t>
      </w:r>
      <w:r>
        <w:rPr>
          <w:rFonts w:ascii="Helvetica" w:hAnsi="Helvetica" w:cs="Helvetica"/>
          <w:color w:val="3E3E3E"/>
          <w:sz w:val="21"/>
          <w:szCs w:val="21"/>
        </w:rPr>
        <w:t>2014</w:t>
      </w:r>
      <w:r>
        <w:rPr>
          <w:rFonts w:ascii="Helvetica" w:hAnsi="Helvetica" w:cs="Helvetica"/>
          <w:color w:val="3E3E3E"/>
          <w:sz w:val="21"/>
          <w:szCs w:val="21"/>
        </w:rPr>
        <w:t>）佛中法行终字第</w:t>
      </w:r>
      <w:r>
        <w:rPr>
          <w:rFonts w:ascii="Helvetica" w:hAnsi="Helvetica" w:cs="Helvetica"/>
          <w:color w:val="3E3E3E"/>
          <w:sz w:val="21"/>
          <w:szCs w:val="21"/>
        </w:rPr>
        <w:t>167</w:t>
      </w:r>
      <w:r>
        <w:rPr>
          <w:rFonts w:ascii="Helvetica" w:hAnsi="Helvetica" w:cs="Helvetica"/>
          <w:color w:val="3E3E3E"/>
          <w:sz w:val="21"/>
          <w:szCs w:val="21"/>
        </w:rPr>
        <w:t>号行政判决和（</w:t>
      </w:r>
      <w:r>
        <w:rPr>
          <w:rFonts w:ascii="Helvetica" w:hAnsi="Helvetica" w:cs="Helvetica"/>
          <w:color w:val="3E3E3E"/>
          <w:sz w:val="21"/>
          <w:szCs w:val="21"/>
        </w:rPr>
        <w:t>2014</w:t>
      </w:r>
      <w:r>
        <w:rPr>
          <w:rFonts w:ascii="Helvetica" w:hAnsi="Helvetica" w:cs="Helvetica"/>
          <w:color w:val="3E3E3E"/>
          <w:sz w:val="21"/>
          <w:szCs w:val="21"/>
        </w:rPr>
        <w:t>）佛中法立行申字第</w:t>
      </w:r>
      <w:r>
        <w:rPr>
          <w:rFonts w:ascii="Helvetica" w:hAnsi="Helvetica" w:cs="Helvetica"/>
          <w:color w:val="3E3E3E"/>
          <w:sz w:val="21"/>
          <w:szCs w:val="21"/>
        </w:rPr>
        <w:t>50</w:t>
      </w:r>
      <w:r>
        <w:rPr>
          <w:rFonts w:ascii="Helvetica" w:hAnsi="Helvetica" w:cs="Helvetica"/>
          <w:color w:val="3E3E3E"/>
          <w:sz w:val="21"/>
          <w:szCs w:val="21"/>
        </w:rPr>
        <w:t>号驳回再审申请通知，向本院申请再审。本院依法组成合议庭对本案进行了审查，现已审查终结。</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何建新申请再审称，马尼托瓦公司违法事实清楚，证据确凿，违法行为处于连续状态。原审判决认定事实不清，适用法律不当。请求再审撤销原审判决，改判支持其诉讼请求。</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本院经审查认为，《劳动保障监察条例》第二十条规定：</w:t>
      </w:r>
      <w:r>
        <w:rPr>
          <w:rFonts w:ascii="Helvetica" w:hAnsi="Helvetica" w:cs="Helvetica"/>
          <w:color w:val="3E3E3E"/>
          <w:sz w:val="21"/>
          <w:szCs w:val="21"/>
        </w:rPr>
        <w:t>“</w:t>
      </w:r>
      <w:r>
        <w:rPr>
          <w:rFonts w:ascii="Helvetica" w:hAnsi="Helvetica" w:cs="Helvetica"/>
          <w:color w:val="3E3E3E"/>
          <w:sz w:val="21"/>
          <w:szCs w:val="21"/>
        </w:rPr>
        <w:t>违反劳动保障法律、法规或者规章的行为在</w:t>
      </w:r>
      <w:r>
        <w:rPr>
          <w:rFonts w:ascii="Helvetica" w:hAnsi="Helvetica" w:cs="Helvetica"/>
          <w:color w:val="3E3E3E"/>
          <w:sz w:val="21"/>
          <w:szCs w:val="21"/>
        </w:rPr>
        <w:t>2</w:t>
      </w:r>
      <w:r>
        <w:rPr>
          <w:rFonts w:ascii="Helvetica" w:hAnsi="Helvetica" w:cs="Helvetica"/>
          <w:color w:val="3E3E3E"/>
          <w:sz w:val="21"/>
          <w:szCs w:val="21"/>
        </w:rPr>
        <w:t>年内未被劳动保障行政部门发现，也未被举报、投诉的，劳动保障行政部门不再查处。前款规定的期限，自违反劳动保障法律、法规或者规章的行为发生之日起计算；违反劳动保障法律、法规或者规章的行为有连续或者继续状态的，自行为终了之日起计算。</w:t>
      </w:r>
      <w:r>
        <w:rPr>
          <w:rFonts w:ascii="Helvetica" w:hAnsi="Helvetica" w:cs="Helvetica"/>
          <w:color w:val="3E3E3E"/>
          <w:sz w:val="21"/>
          <w:szCs w:val="21"/>
        </w:rPr>
        <w:t>”</w:t>
      </w:r>
      <w:r>
        <w:rPr>
          <w:rFonts w:ascii="Helvetica" w:hAnsi="Helvetica" w:cs="Helvetica"/>
          <w:color w:val="3E3E3E"/>
          <w:sz w:val="21"/>
          <w:szCs w:val="21"/>
        </w:rPr>
        <w:t>本案中，何建新在原审程序中提交的《佛山市社会保险缴费情况核对表》以及南海人社局对何建新所作的《劳动保障监察调查询问笔录》等可以证明，马尼托瓦公司已于</w:t>
      </w:r>
      <w:r>
        <w:rPr>
          <w:rFonts w:ascii="Helvetica" w:hAnsi="Helvetica" w:cs="Helvetica"/>
          <w:color w:val="3E3E3E"/>
          <w:sz w:val="21"/>
          <w:szCs w:val="21"/>
        </w:rPr>
        <w:t>2009</w:t>
      </w:r>
      <w:r>
        <w:rPr>
          <w:rFonts w:ascii="Helvetica" w:hAnsi="Helvetica" w:cs="Helvetica"/>
          <w:color w:val="3E3E3E"/>
          <w:sz w:val="21"/>
          <w:szCs w:val="21"/>
        </w:rPr>
        <w:t>年</w:t>
      </w:r>
      <w:r>
        <w:rPr>
          <w:rFonts w:ascii="Helvetica" w:hAnsi="Helvetica" w:cs="Helvetica"/>
          <w:color w:val="3E3E3E"/>
          <w:sz w:val="21"/>
          <w:szCs w:val="21"/>
        </w:rPr>
        <w:t>12</w:t>
      </w:r>
      <w:r>
        <w:rPr>
          <w:rFonts w:ascii="Helvetica" w:hAnsi="Helvetica" w:cs="Helvetica"/>
          <w:color w:val="3E3E3E"/>
          <w:sz w:val="21"/>
          <w:szCs w:val="21"/>
        </w:rPr>
        <w:t>月份按照何建新的实际工资为何建新缴纳了社会保险的五险，符合《广东省社会保险费征缴办法》第六条的规定。即何建新投诉该公司</w:t>
      </w:r>
      <w:r>
        <w:rPr>
          <w:rFonts w:ascii="Helvetica" w:hAnsi="Helvetica" w:cs="Helvetica"/>
          <w:color w:val="3E3E3E"/>
          <w:sz w:val="21"/>
          <w:szCs w:val="21"/>
        </w:rPr>
        <w:t>2009</w:t>
      </w:r>
      <w:r>
        <w:rPr>
          <w:rFonts w:ascii="Helvetica" w:hAnsi="Helvetica" w:cs="Helvetica"/>
          <w:color w:val="3E3E3E"/>
          <w:sz w:val="21"/>
          <w:szCs w:val="21"/>
        </w:rPr>
        <w:t>年</w:t>
      </w:r>
      <w:r>
        <w:rPr>
          <w:rFonts w:ascii="Helvetica" w:hAnsi="Helvetica" w:cs="Helvetica"/>
          <w:color w:val="3E3E3E"/>
          <w:sz w:val="21"/>
          <w:szCs w:val="21"/>
        </w:rPr>
        <w:t>12</w:t>
      </w:r>
      <w:r>
        <w:rPr>
          <w:rFonts w:ascii="Helvetica" w:hAnsi="Helvetica" w:cs="Helvetica"/>
          <w:color w:val="3E3E3E"/>
          <w:sz w:val="21"/>
          <w:szCs w:val="21"/>
        </w:rPr>
        <w:t>月份之前存在的关于缴纳社会保险费的违法行为，已于</w:t>
      </w:r>
      <w:r>
        <w:rPr>
          <w:rFonts w:ascii="Helvetica" w:hAnsi="Helvetica" w:cs="Helvetica"/>
          <w:color w:val="3E3E3E"/>
          <w:sz w:val="21"/>
          <w:szCs w:val="21"/>
        </w:rPr>
        <w:t>2009</w:t>
      </w:r>
      <w:r>
        <w:rPr>
          <w:rFonts w:ascii="Helvetica" w:hAnsi="Helvetica" w:cs="Helvetica"/>
          <w:color w:val="3E3E3E"/>
          <w:sz w:val="21"/>
          <w:szCs w:val="21"/>
        </w:rPr>
        <w:t>年</w:t>
      </w:r>
      <w:r>
        <w:rPr>
          <w:rFonts w:ascii="Helvetica" w:hAnsi="Helvetica" w:cs="Helvetica"/>
          <w:color w:val="3E3E3E"/>
          <w:sz w:val="21"/>
          <w:szCs w:val="21"/>
        </w:rPr>
        <w:t>12</w:t>
      </w:r>
      <w:r>
        <w:rPr>
          <w:rFonts w:ascii="Helvetica" w:hAnsi="Helvetica" w:cs="Helvetica"/>
          <w:color w:val="3E3E3E"/>
          <w:sz w:val="21"/>
          <w:szCs w:val="21"/>
        </w:rPr>
        <w:t>月份终止。何建新投诉该公司</w:t>
      </w:r>
      <w:r>
        <w:rPr>
          <w:rFonts w:ascii="Helvetica" w:hAnsi="Helvetica" w:cs="Helvetica"/>
          <w:color w:val="3E3E3E"/>
          <w:sz w:val="21"/>
          <w:szCs w:val="21"/>
        </w:rPr>
        <w:t>2009</w:t>
      </w:r>
      <w:r>
        <w:rPr>
          <w:rFonts w:ascii="Helvetica" w:hAnsi="Helvetica" w:cs="Helvetica"/>
          <w:color w:val="3E3E3E"/>
          <w:sz w:val="21"/>
          <w:szCs w:val="21"/>
        </w:rPr>
        <w:t>年</w:t>
      </w:r>
      <w:r>
        <w:rPr>
          <w:rFonts w:ascii="Helvetica" w:hAnsi="Helvetica" w:cs="Helvetica"/>
          <w:color w:val="3E3E3E"/>
          <w:sz w:val="21"/>
          <w:szCs w:val="21"/>
        </w:rPr>
        <w:t>12</w:t>
      </w:r>
      <w:r>
        <w:rPr>
          <w:rFonts w:ascii="Helvetica" w:hAnsi="Helvetica" w:cs="Helvetica"/>
          <w:color w:val="3E3E3E"/>
          <w:sz w:val="21"/>
          <w:szCs w:val="21"/>
        </w:rPr>
        <w:t>月份之前未缴纳和未足额缴纳社会保险的行为违法，最迟应于</w:t>
      </w:r>
      <w:r>
        <w:rPr>
          <w:rFonts w:ascii="Helvetica" w:hAnsi="Helvetica" w:cs="Helvetica"/>
          <w:color w:val="3E3E3E"/>
          <w:sz w:val="21"/>
          <w:szCs w:val="21"/>
        </w:rPr>
        <w:t>2011</w:t>
      </w:r>
      <w:r>
        <w:rPr>
          <w:rFonts w:ascii="Helvetica" w:hAnsi="Helvetica" w:cs="Helvetica"/>
          <w:color w:val="3E3E3E"/>
          <w:sz w:val="21"/>
          <w:szCs w:val="21"/>
        </w:rPr>
        <w:t>年</w:t>
      </w:r>
      <w:r>
        <w:rPr>
          <w:rFonts w:ascii="Helvetica" w:hAnsi="Helvetica" w:cs="Helvetica"/>
          <w:color w:val="3E3E3E"/>
          <w:sz w:val="21"/>
          <w:szCs w:val="21"/>
        </w:rPr>
        <w:t>12</w:t>
      </w:r>
      <w:r>
        <w:rPr>
          <w:rFonts w:ascii="Helvetica" w:hAnsi="Helvetica" w:cs="Helvetica"/>
          <w:color w:val="3E3E3E"/>
          <w:sz w:val="21"/>
          <w:szCs w:val="21"/>
        </w:rPr>
        <w:t>月前向南海人社局提出。但何建新于</w:t>
      </w:r>
      <w:r>
        <w:rPr>
          <w:rFonts w:ascii="Helvetica" w:hAnsi="Helvetica" w:cs="Helvetica"/>
          <w:color w:val="3E3E3E"/>
          <w:sz w:val="21"/>
          <w:szCs w:val="21"/>
        </w:rPr>
        <w:t>2012</w:t>
      </w:r>
      <w:r>
        <w:rPr>
          <w:rFonts w:ascii="Helvetica" w:hAnsi="Helvetica" w:cs="Helvetica"/>
          <w:color w:val="3E3E3E"/>
          <w:sz w:val="21"/>
          <w:szCs w:val="21"/>
        </w:rPr>
        <w:t>年</w:t>
      </w:r>
      <w:r>
        <w:rPr>
          <w:rFonts w:ascii="Helvetica" w:hAnsi="Helvetica" w:cs="Helvetica"/>
          <w:color w:val="3E3E3E"/>
          <w:sz w:val="21"/>
          <w:szCs w:val="21"/>
        </w:rPr>
        <w:t>10</w:t>
      </w:r>
      <w:r>
        <w:rPr>
          <w:rFonts w:ascii="Helvetica" w:hAnsi="Helvetica" w:cs="Helvetica"/>
          <w:color w:val="3E3E3E"/>
          <w:sz w:val="21"/>
          <w:szCs w:val="21"/>
        </w:rPr>
        <w:t>月才向南海人社局投诉，已明显超过上述法定期限，且无证据证明</w:t>
      </w:r>
      <w:r>
        <w:rPr>
          <w:rFonts w:ascii="Helvetica" w:hAnsi="Helvetica" w:cs="Helvetica"/>
          <w:color w:val="3E3E3E"/>
          <w:sz w:val="21"/>
          <w:szCs w:val="21"/>
        </w:rPr>
        <w:lastRenderedPageBreak/>
        <w:t>劳动保障行政部门在此期间发现该公司存在何建新投诉的上述违法行为。故南海人社局对何建新该项诉求不再查处并无不当。同时，对马尼托瓦公司在</w:t>
      </w:r>
      <w:r>
        <w:rPr>
          <w:rFonts w:ascii="Helvetica" w:hAnsi="Helvetica" w:cs="Helvetica"/>
          <w:color w:val="3E3E3E"/>
          <w:sz w:val="21"/>
          <w:szCs w:val="21"/>
        </w:rPr>
        <w:t>2010</w:t>
      </w:r>
      <w:r>
        <w:rPr>
          <w:rFonts w:ascii="Helvetica" w:hAnsi="Helvetica" w:cs="Helvetica"/>
          <w:color w:val="3E3E3E"/>
          <w:sz w:val="21"/>
          <w:szCs w:val="21"/>
        </w:rPr>
        <w:t>年</w:t>
      </w:r>
      <w:r>
        <w:rPr>
          <w:rFonts w:ascii="Helvetica" w:hAnsi="Helvetica" w:cs="Helvetica"/>
          <w:color w:val="3E3E3E"/>
          <w:sz w:val="21"/>
          <w:szCs w:val="21"/>
        </w:rPr>
        <w:t>1</w:t>
      </w:r>
      <w:r>
        <w:rPr>
          <w:rFonts w:ascii="Helvetica" w:hAnsi="Helvetica" w:cs="Helvetica"/>
          <w:color w:val="3E3E3E"/>
          <w:sz w:val="21"/>
          <w:szCs w:val="21"/>
        </w:rPr>
        <w:t>月至</w:t>
      </w:r>
      <w:r>
        <w:rPr>
          <w:rFonts w:ascii="Helvetica" w:hAnsi="Helvetica" w:cs="Helvetica"/>
          <w:color w:val="3E3E3E"/>
          <w:sz w:val="21"/>
          <w:szCs w:val="21"/>
        </w:rPr>
        <w:t>2011</w:t>
      </w:r>
      <w:r>
        <w:rPr>
          <w:rFonts w:ascii="Helvetica" w:hAnsi="Helvetica" w:cs="Helvetica"/>
          <w:color w:val="3E3E3E"/>
          <w:sz w:val="21"/>
          <w:szCs w:val="21"/>
        </w:rPr>
        <w:t>年</w:t>
      </w:r>
      <w:r>
        <w:rPr>
          <w:rFonts w:ascii="Helvetica" w:hAnsi="Helvetica" w:cs="Helvetica"/>
          <w:color w:val="3E3E3E"/>
          <w:sz w:val="21"/>
          <w:szCs w:val="21"/>
        </w:rPr>
        <w:t>3</w:t>
      </w:r>
      <w:r>
        <w:rPr>
          <w:rFonts w:ascii="Helvetica" w:hAnsi="Helvetica" w:cs="Helvetica"/>
          <w:color w:val="3E3E3E"/>
          <w:sz w:val="21"/>
          <w:szCs w:val="21"/>
        </w:rPr>
        <w:t>月期间未按照何建新实际工资为其足额缴纳社会保险的问题，南海人社局已责令该公司进行整改。对何建新投诉要求该公司向其支付</w:t>
      </w:r>
      <w:r>
        <w:rPr>
          <w:rFonts w:ascii="Helvetica" w:hAnsi="Helvetica" w:cs="Helvetica"/>
          <w:color w:val="3E3E3E"/>
          <w:sz w:val="21"/>
          <w:szCs w:val="21"/>
        </w:rPr>
        <w:t>2001</w:t>
      </w:r>
      <w:r>
        <w:rPr>
          <w:rFonts w:ascii="Helvetica" w:hAnsi="Helvetica" w:cs="Helvetica"/>
          <w:color w:val="3E3E3E"/>
          <w:sz w:val="21"/>
          <w:szCs w:val="21"/>
        </w:rPr>
        <w:t>年至</w:t>
      </w:r>
      <w:r>
        <w:rPr>
          <w:rFonts w:ascii="Helvetica" w:hAnsi="Helvetica" w:cs="Helvetica"/>
          <w:color w:val="3E3E3E"/>
          <w:sz w:val="21"/>
          <w:szCs w:val="21"/>
        </w:rPr>
        <w:t>2002</w:t>
      </w:r>
      <w:r>
        <w:rPr>
          <w:rFonts w:ascii="Helvetica" w:hAnsi="Helvetica" w:cs="Helvetica"/>
          <w:color w:val="3E3E3E"/>
          <w:sz w:val="21"/>
          <w:szCs w:val="21"/>
        </w:rPr>
        <w:t>年尚未报销的社会保险费共</w:t>
      </w:r>
      <w:r>
        <w:rPr>
          <w:rFonts w:ascii="Helvetica" w:hAnsi="Helvetica" w:cs="Helvetica"/>
          <w:color w:val="3E3E3E"/>
          <w:sz w:val="21"/>
          <w:szCs w:val="21"/>
        </w:rPr>
        <w:t>9477</w:t>
      </w:r>
      <w:r>
        <w:rPr>
          <w:rFonts w:ascii="Helvetica" w:hAnsi="Helvetica" w:cs="Helvetica"/>
          <w:color w:val="3E3E3E"/>
          <w:sz w:val="21"/>
          <w:szCs w:val="21"/>
        </w:rPr>
        <w:t>元的诉求，何建新之前曾向南海人社局提出过该项诉求，南海人社局也已作出过告知处理。南海人社局此次回复不再查处并无不当。</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关于何建新要求赔偿因未按城镇居民户籍性质购买失业保险而造成的直接经济损失</w:t>
      </w:r>
      <w:r>
        <w:rPr>
          <w:rFonts w:ascii="Helvetica" w:hAnsi="Helvetica" w:cs="Helvetica"/>
          <w:color w:val="3E3E3E"/>
          <w:sz w:val="21"/>
          <w:szCs w:val="21"/>
        </w:rPr>
        <w:t>2</w:t>
      </w:r>
      <w:r>
        <w:rPr>
          <w:rFonts w:ascii="Helvetica" w:hAnsi="Helvetica" w:cs="Helvetica"/>
          <w:color w:val="3E3E3E"/>
          <w:sz w:val="21"/>
          <w:szCs w:val="21"/>
        </w:rPr>
        <w:t>万元的投诉请求。《社会保险个人权益记录管理办法》第十六条规定：</w:t>
      </w:r>
      <w:r>
        <w:rPr>
          <w:rFonts w:ascii="Helvetica" w:hAnsi="Helvetica" w:cs="Helvetica"/>
          <w:color w:val="3E3E3E"/>
          <w:sz w:val="21"/>
          <w:szCs w:val="21"/>
        </w:rPr>
        <w:t>“</w:t>
      </w:r>
      <w:r>
        <w:rPr>
          <w:rFonts w:ascii="Helvetica" w:hAnsi="Helvetica" w:cs="Helvetica"/>
          <w:color w:val="3E3E3E"/>
          <w:sz w:val="21"/>
          <w:szCs w:val="21"/>
        </w:rPr>
        <w:t>参保人员或者用人单位对社会保险个人权益记录存在异议时，可以向社会保险经办机构提出书面核查申请，并提供相关证明材料</w:t>
      </w:r>
      <w:r>
        <w:rPr>
          <w:rFonts w:ascii="Helvetica" w:hAnsi="Helvetica" w:cs="Helvetica"/>
          <w:color w:val="3E3E3E"/>
          <w:sz w:val="21"/>
          <w:szCs w:val="21"/>
        </w:rPr>
        <w:t>……”</w:t>
      </w:r>
      <w:r>
        <w:rPr>
          <w:rFonts w:ascii="Helvetica" w:hAnsi="Helvetica" w:cs="Helvetica"/>
          <w:color w:val="3E3E3E"/>
          <w:sz w:val="21"/>
          <w:szCs w:val="21"/>
        </w:rPr>
        <w:t>。根据该规定，社会保险个人权益记录由社会保险经办机构负责管理。何建新认为其失业保险登记的户口性质登记有误，可向社会保险经办机构提出异议。故南海人社局建议何建新就该项诉求向社会保险经办机构进行投诉处理也并无不当。何建新认为原审判决错误的理由，缺乏充分的事实和法律依据，本院不予支持。</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r>
        <w:rPr>
          <w:rFonts w:ascii="Helvetica" w:hAnsi="Helvetica" w:cs="Helvetica"/>
          <w:color w:val="3E3E3E"/>
          <w:sz w:val="21"/>
          <w:szCs w:val="21"/>
        </w:rPr>
        <w:t>综上，何建新的再审申请不符合《中华人民共和国行政诉讼法》第九十一条规定的情形。依照《最高人民法院关于执行〈中华人民共和国行政诉讼法〉若干问题的解释》第七十四条的规定，裁定如下：</w:t>
      </w:r>
    </w:p>
    <w:p w:rsidR="00F1724C" w:rsidRDefault="00F1724C" w:rsidP="00F1724C">
      <w:pPr>
        <w:pStyle w:val="a3"/>
        <w:shd w:val="clear" w:color="auto" w:fill="FFFFFF"/>
        <w:spacing w:before="0" w:beforeAutospacing="0" w:after="0" w:afterAutospacing="0" w:line="360" w:lineRule="auto"/>
        <w:ind w:firstLine="480"/>
        <w:rPr>
          <w:rFonts w:ascii="Helvetica" w:hAnsi="Helvetica" w:cs="Helvetica"/>
          <w:color w:val="3E3E3E"/>
          <w:sz w:val="21"/>
          <w:szCs w:val="21"/>
        </w:rPr>
      </w:pPr>
      <w:r>
        <w:rPr>
          <w:rFonts w:ascii="Helvetica" w:hAnsi="Helvetica" w:cs="Helvetica"/>
          <w:color w:val="3E3E3E"/>
          <w:sz w:val="21"/>
          <w:szCs w:val="21"/>
        </w:rPr>
        <w:t>驳回何建新的再审申请。</w:t>
      </w:r>
    </w:p>
    <w:p w:rsidR="00F1724C" w:rsidRDefault="00F1724C" w:rsidP="00F1724C">
      <w:pPr>
        <w:pStyle w:val="a3"/>
        <w:shd w:val="clear" w:color="auto" w:fill="FFFFFF"/>
        <w:spacing w:before="0" w:beforeAutospacing="0" w:after="0" w:afterAutospacing="0" w:line="360" w:lineRule="auto"/>
        <w:ind w:firstLine="480"/>
        <w:rPr>
          <w:rFonts w:ascii="SimSun" w:hAnsi="SimSun" w:hint="eastAsia"/>
          <w:color w:val="464646"/>
          <w:sz w:val="18"/>
          <w:szCs w:val="18"/>
        </w:rPr>
      </w:pPr>
    </w:p>
    <w:p w:rsidR="00F1724C" w:rsidRDefault="00F1724C" w:rsidP="00F1724C">
      <w:pPr>
        <w:pStyle w:val="a3"/>
        <w:shd w:val="clear" w:color="auto" w:fill="FFFFFF"/>
        <w:spacing w:before="0" w:beforeAutospacing="0" w:after="0" w:afterAutospacing="0" w:line="360" w:lineRule="auto"/>
        <w:jc w:val="right"/>
        <w:rPr>
          <w:rFonts w:ascii="SimSun" w:hAnsi="SimSun" w:hint="eastAsia"/>
          <w:color w:val="464646"/>
          <w:sz w:val="18"/>
          <w:szCs w:val="18"/>
        </w:rPr>
      </w:pPr>
      <w:r>
        <w:rPr>
          <w:rFonts w:ascii="Helvetica" w:hAnsi="Helvetica" w:cs="Helvetica"/>
          <w:color w:val="3E3E3E"/>
          <w:sz w:val="21"/>
          <w:szCs w:val="21"/>
        </w:rPr>
        <w:t>审　判　长　　秦红梅</w:t>
      </w:r>
    </w:p>
    <w:p w:rsidR="00F1724C" w:rsidRDefault="00F1724C" w:rsidP="00F1724C">
      <w:pPr>
        <w:pStyle w:val="a3"/>
        <w:shd w:val="clear" w:color="auto" w:fill="FFFFFF"/>
        <w:spacing w:before="0" w:beforeAutospacing="0" w:after="0" w:afterAutospacing="0" w:line="360" w:lineRule="auto"/>
        <w:jc w:val="right"/>
        <w:rPr>
          <w:rFonts w:ascii="SimSun" w:hAnsi="SimSun" w:hint="eastAsia"/>
          <w:color w:val="464646"/>
          <w:sz w:val="18"/>
          <w:szCs w:val="18"/>
        </w:rPr>
      </w:pPr>
      <w:r>
        <w:rPr>
          <w:rFonts w:ascii="Helvetica" w:hAnsi="Helvetica" w:cs="Helvetica"/>
          <w:color w:val="3E3E3E"/>
          <w:sz w:val="21"/>
          <w:szCs w:val="21"/>
        </w:rPr>
        <w:t>审　判　员　　王彩妃</w:t>
      </w:r>
    </w:p>
    <w:p w:rsidR="00F1724C" w:rsidRDefault="00F1724C" w:rsidP="00F1724C">
      <w:pPr>
        <w:pStyle w:val="a3"/>
        <w:shd w:val="clear" w:color="auto" w:fill="FFFFFF"/>
        <w:spacing w:before="0" w:beforeAutospacing="0" w:after="0" w:afterAutospacing="0" w:line="360" w:lineRule="auto"/>
        <w:jc w:val="right"/>
        <w:rPr>
          <w:rFonts w:ascii="SimSun" w:hAnsi="SimSun" w:hint="eastAsia"/>
          <w:color w:val="464646"/>
          <w:sz w:val="18"/>
          <w:szCs w:val="18"/>
        </w:rPr>
      </w:pPr>
      <w:r>
        <w:rPr>
          <w:rFonts w:ascii="Helvetica" w:hAnsi="Helvetica" w:cs="Helvetica"/>
          <w:color w:val="3E3E3E"/>
          <w:sz w:val="21"/>
          <w:szCs w:val="21"/>
        </w:rPr>
        <w:t>代理审判员　　付庆海</w:t>
      </w:r>
    </w:p>
    <w:p w:rsidR="00F1724C" w:rsidRDefault="00F1724C" w:rsidP="00F1724C">
      <w:pPr>
        <w:pStyle w:val="a3"/>
        <w:shd w:val="clear" w:color="auto" w:fill="FFFFFF"/>
        <w:spacing w:before="0" w:beforeAutospacing="0" w:after="0" w:afterAutospacing="0" w:line="360" w:lineRule="auto"/>
        <w:jc w:val="right"/>
        <w:rPr>
          <w:rFonts w:ascii="SimSun" w:hAnsi="SimSun" w:hint="eastAsia"/>
          <w:color w:val="464646"/>
          <w:sz w:val="18"/>
          <w:szCs w:val="18"/>
        </w:rPr>
      </w:pPr>
      <w:r>
        <w:rPr>
          <w:rFonts w:ascii="Helvetica" w:hAnsi="Helvetica" w:cs="Helvetica"/>
          <w:color w:val="3E3E3E"/>
          <w:sz w:val="21"/>
          <w:szCs w:val="21"/>
        </w:rPr>
        <w:t>二〇一五年八月二十日</w:t>
      </w:r>
    </w:p>
    <w:p w:rsidR="00F1724C" w:rsidRPr="00627109" w:rsidRDefault="00F1724C" w:rsidP="00F1724C">
      <w:pPr>
        <w:pStyle w:val="a3"/>
        <w:shd w:val="clear" w:color="auto" w:fill="FFFFFF"/>
        <w:spacing w:before="0" w:beforeAutospacing="0" w:after="0" w:afterAutospacing="0" w:line="360" w:lineRule="auto"/>
        <w:jc w:val="right"/>
        <w:rPr>
          <w:rFonts w:ascii="SimSun" w:hAnsi="SimSun" w:hint="eastAsia"/>
          <w:color w:val="464646"/>
          <w:sz w:val="18"/>
          <w:szCs w:val="18"/>
        </w:rPr>
      </w:pPr>
      <w:r>
        <w:rPr>
          <w:rFonts w:ascii="Helvetica" w:hAnsi="Helvetica" w:cs="Helvetica"/>
          <w:color w:val="3E3E3E"/>
          <w:sz w:val="21"/>
          <w:szCs w:val="21"/>
        </w:rPr>
        <w:t>书　记　员　　刘桂宜</w:t>
      </w:r>
    </w:p>
    <w:p w:rsidR="005715F1" w:rsidRDefault="00F1724C"/>
    <w:sectPr w:rsidR="005715F1" w:rsidSect="00AA5A2E">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0857"/>
      <w:docPartObj>
        <w:docPartGallery w:val="Page Numbers (Bottom of Page)"/>
        <w:docPartUnique/>
      </w:docPartObj>
    </w:sdtPr>
    <w:sdtEndPr/>
    <w:sdtContent>
      <w:sdt>
        <w:sdtPr>
          <w:id w:val="171357217"/>
          <w:docPartObj>
            <w:docPartGallery w:val="Page Numbers (Top of Page)"/>
            <w:docPartUnique/>
          </w:docPartObj>
        </w:sdtPr>
        <w:sdtEndPr/>
        <w:sdtContent>
          <w:p w:rsidR="000B449F" w:rsidRDefault="00F1724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rsidR="000B449F" w:rsidRDefault="00F1724C">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24C"/>
    <w:rsid w:val="001F32D7"/>
    <w:rsid w:val="00581FF3"/>
    <w:rsid w:val="008668D1"/>
    <w:rsid w:val="00F17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24C"/>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F1724C"/>
    <w:pPr>
      <w:tabs>
        <w:tab w:val="center" w:pos="4153"/>
        <w:tab w:val="right" w:pos="8306"/>
      </w:tabs>
      <w:snapToGrid w:val="0"/>
      <w:jc w:val="left"/>
    </w:pPr>
    <w:rPr>
      <w:sz w:val="18"/>
      <w:szCs w:val="18"/>
    </w:rPr>
  </w:style>
  <w:style w:type="character" w:customStyle="1" w:styleId="Char">
    <w:name w:val="页脚 Char"/>
    <w:basedOn w:val="a0"/>
    <w:link w:val="a4"/>
    <w:uiPriority w:val="99"/>
    <w:rsid w:val="00F172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1340</Characters>
  <Application>Microsoft Office Word</Application>
  <DocSecurity>0</DocSecurity>
  <Lines>11</Lines>
  <Paragraphs>3</Paragraphs>
  <ScaleCrop>false</ScaleCrop>
  <Company>CHINA</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2017-10-10T01:51:00Z</dcterms:created>
  <dcterms:modified xsi:type="dcterms:W3CDTF">2017-10-10T01:53:00Z</dcterms:modified>
</cp:coreProperties>
</file>